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01" w:firstLineChars="100"/>
        <w:rPr>
          <w:rFonts w:ascii="宋体" w:hAnsi="宋体"/>
          <w:b/>
          <w:sz w:val="30"/>
          <w:szCs w:val="30"/>
        </w:rPr>
      </w:pPr>
      <w:r>
        <w:rPr>
          <w:rFonts w:hint="eastAsia" w:ascii="宋体" w:hAnsi="宋体"/>
          <w:b/>
          <w:sz w:val="30"/>
          <w:szCs w:val="30"/>
        </w:rPr>
        <w:t>南梁集油站—吴堡联合站输油管线隐患治理项目（陕西段）</w:t>
      </w:r>
    </w:p>
    <w:p>
      <w:pPr>
        <w:ind w:left="630" w:leftChars="300" w:firstLine="602" w:firstLineChars="200"/>
        <w:rPr>
          <w:rFonts w:ascii="宋体" w:hAnsi="宋体"/>
          <w:b/>
          <w:sz w:val="30"/>
          <w:szCs w:val="30"/>
        </w:rPr>
      </w:pPr>
      <w:r>
        <w:rPr>
          <w:rFonts w:hint="eastAsia" w:ascii="宋体" w:hAnsi="宋体"/>
          <w:b/>
          <w:sz w:val="30"/>
          <w:szCs w:val="30"/>
        </w:rPr>
        <w:t>竣工环境保护验收其他需要说明的事项</w:t>
      </w:r>
      <w:bookmarkStart w:id="0" w:name="_GoBack"/>
      <w:bookmarkEnd w:id="0"/>
    </w:p>
    <w:p>
      <w:pPr>
        <w:spacing w:line="360" w:lineRule="auto"/>
        <w:ind w:firstLine="482" w:firstLineChars="200"/>
        <w:rPr>
          <w:b/>
          <w:bCs/>
          <w:sz w:val="24"/>
          <w:szCs w:val="24"/>
        </w:rPr>
      </w:pPr>
      <w:r>
        <w:rPr>
          <w:rFonts w:hint="eastAsia"/>
          <w:b/>
          <w:bCs/>
          <w:sz w:val="24"/>
          <w:szCs w:val="24"/>
        </w:rPr>
        <w:t>1 环境保护设施设计、施工和验收过程简况</w:t>
      </w:r>
    </w:p>
    <w:p>
      <w:pPr>
        <w:spacing w:line="360" w:lineRule="auto"/>
        <w:ind w:firstLine="480" w:firstLineChars="200"/>
        <w:outlineLvl w:val="0"/>
        <w:rPr>
          <w:sz w:val="24"/>
          <w:szCs w:val="24"/>
        </w:rPr>
      </w:pPr>
      <w:r>
        <w:rPr>
          <w:rFonts w:hint="eastAsia"/>
          <w:sz w:val="24"/>
          <w:szCs w:val="24"/>
        </w:rPr>
        <w:t>1.1 设计简况</w:t>
      </w:r>
    </w:p>
    <w:p>
      <w:pPr>
        <w:spacing w:line="360" w:lineRule="auto"/>
        <w:ind w:firstLine="480" w:firstLineChars="200"/>
        <w:rPr>
          <w:sz w:val="24"/>
          <w:szCs w:val="24"/>
        </w:rPr>
      </w:pPr>
      <w:r>
        <w:rPr>
          <w:rFonts w:hint="eastAsia"/>
          <w:sz w:val="24"/>
          <w:szCs w:val="24"/>
        </w:rPr>
        <w:t>项目设计由</w:t>
      </w:r>
      <w:r>
        <w:rPr>
          <w:sz w:val="24"/>
        </w:rPr>
        <w:t>西安长庆科技工程有限责任公司</w:t>
      </w:r>
      <w:r>
        <w:rPr>
          <w:sz w:val="24"/>
          <w:szCs w:val="24"/>
        </w:rPr>
        <w:t>设计，项目的环境保护设计全部</w:t>
      </w:r>
      <w:r>
        <w:rPr>
          <w:rFonts w:hint="eastAsia"/>
          <w:sz w:val="24"/>
          <w:szCs w:val="24"/>
        </w:rPr>
        <w:t>纳入了《</w:t>
      </w:r>
      <w:r>
        <w:rPr>
          <w:rFonts w:hint="eastAsia" w:ascii="Times New Roman" w:hAnsi="Times New Roman"/>
          <w:sz w:val="24"/>
          <w:szCs w:val="24"/>
        </w:rPr>
        <w:t>长庆油田分公司第二采油厂</w:t>
      </w:r>
      <w:r>
        <w:rPr>
          <w:rFonts w:hint="eastAsia"/>
          <w:color w:val="000000"/>
          <w:spacing w:val="10"/>
          <w:sz w:val="24"/>
        </w:rPr>
        <w:t>南梁集油站—吴堡联合站输油管线隐患治理项目（陕西段）</w:t>
      </w:r>
      <w:r>
        <w:rPr>
          <w:rFonts w:hint="eastAsia" w:ascii="Times New Roman" w:hAnsi="Times New Roman"/>
          <w:sz w:val="24"/>
          <w:szCs w:val="24"/>
        </w:rPr>
        <w:t>初步设计方案</w:t>
      </w:r>
      <w:r>
        <w:rPr>
          <w:rFonts w:hint="eastAsia"/>
          <w:sz w:val="24"/>
          <w:szCs w:val="24"/>
        </w:rPr>
        <w:t>》中，环境保护设施的设计符合环境保护设计规范的要求，编制了环境保护篇章，落实了防止污染的措施以及环境保护设施投资概算。</w:t>
      </w:r>
    </w:p>
    <w:p>
      <w:pPr>
        <w:spacing w:line="360" w:lineRule="auto"/>
        <w:ind w:firstLine="480" w:firstLineChars="200"/>
        <w:outlineLvl w:val="0"/>
        <w:rPr>
          <w:sz w:val="24"/>
          <w:szCs w:val="24"/>
        </w:rPr>
      </w:pPr>
      <w:r>
        <w:rPr>
          <w:rFonts w:hint="eastAsia"/>
          <w:sz w:val="24"/>
          <w:szCs w:val="24"/>
        </w:rPr>
        <w:t>1.2 施工简况</w:t>
      </w:r>
    </w:p>
    <w:p>
      <w:pPr>
        <w:spacing w:line="360" w:lineRule="auto"/>
        <w:ind w:firstLine="480" w:firstLineChars="200"/>
        <w:rPr>
          <w:sz w:val="24"/>
          <w:szCs w:val="24"/>
        </w:rPr>
      </w:pPr>
      <w:r>
        <w:rPr>
          <w:rFonts w:hint="eastAsia"/>
          <w:sz w:val="24"/>
          <w:szCs w:val="24"/>
        </w:rPr>
        <w:t>环境保护设施全部纳入项目施工合同中，环境保护设施的建设进度和资金基本得到了保证，项目建设过程中组织实施了环境影响报告书及其审批部门审批决定中提出的环境保护对策措施。</w:t>
      </w:r>
    </w:p>
    <w:p>
      <w:pPr>
        <w:spacing w:line="360" w:lineRule="auto"/>
        <w:ind w:firstLine="480" w:firstLineChars="200"/>
        <w:outlineLvl w:val="0"/>
        <w:rPr>
          <w:sz w:val="24"/>
          <w:szCs w:val="24"/>
        </w:rPr>
      </w:pPr>
      <w:r>
        <w:rPr>
          <w:rFonts w:hint="eastAsia"/>
          <w:sz w:val="24"/>
          <w:szCs w:val="24"/>
        </w:rPr>
        <w:t>1.3 验收过程简况</w:t>
      </w:r>
    </w:p>
    <w:p>
      <w:pPr>
        <w:pStyle w:val="2"/>
        <w:spacing w:line="360" w:lineRule="auto"/>
        <w:ind w:firstLine="480" w:firstLineChars="200"/>
        <w:rPr>
          <w:rFonts w:hint="eastAsia" w:eastAsia="宋体"/>
          <w:sz w:val="24"/>
          <w:szCs w:val="24"/>
          <w:lang w:eastAsia="zh-CN"/>
        </w:rPr>
      </w:pPr>
      <w:r>
        <w:rPr>
          <w:rFonts w:hint="eastAsia" w:ascii="宋体" w:hAnsi="宋体" w:cs="宋体"/>
          <w:sz w:val="24"/>
          <w:szCs w:val="24"/>
        </w:rPr>
        <w:t>本次验收调查委托</w:t>
      </w:r>
      <w:r>
        <w:rPr>
          <w:rFonts w:hint="eastAsia"/>
          <w:sz w:val="24"/>
        </w:rPr>
        <w:t>陕西阔成检测服务有限公司</w:t>
      </w:r>
      <w:r>
        <w:rPr>
          <w:rFonts w:hint="eastAsia" w:ascii="宋体" w:hAnsi="宋体" w:cs="宋体"/>
          <w:sz w:val="24"/>
          <w:szCs w:val="24"/>
        </w:rPr>
        <w:t>对该项目土壤进行监测，</w:t>
      </w:r>
      <w:r>
        <w:rPr>
          <w:rFonts w:hint="eastAsia"/>
          <w:sz w:val="24"/>
          <w:lang w:eastAsia="zh-CN"/>
        </w:rPr>
        <w:t>该</w:t>
      </w:r>
      <w:r>
        <w:rPr>
          <w:rFonts w:hint="eastAsia"/>
          <w:sz w:val="24"/>
        </w:rPr>
        <w:t>公司</w:t>
      </w:r>
      <w:r>
        <w:rPr>
          <w:rFonts w:hint="eastAsia" w:ascii="宋体" w:hAnsi="宋体" w:cs="宋体"/>
          <w:sz w:val="24"/>
          <w:szCs w:val="24"/>
        </w:rPr>
        <w:t>具备环境监测能力，于2019年4月12日对项目有土壤进行了监测，2019年4月25日完成</w:t>
      </w:r>
      <w:r>
        <w:rPr>
          <w:rFonts w:hint="eastAsia"/>
          <w:sz w:val="24"/>
          <w:szCs w:val="24"/>
        </w:rPr>
        <w:t>验收监测报告。</w:t>
      </w:r>
      <w:r>
        <w:rPr>
          <w:rFonts w:ascii="宋体" w:hAnsi="宋体" w:cs="宋体"/>
          <w:sz w:val="24"/>
          <w:szCs w:val="24"/>
        </w:rPr>
        <w:t>201</w:t>
      </w:r>
      <w:r>
        <w:rPr>
          <w:rFonts w:hint="eastAsia" w:ascii="宋体" w:hAnsi="宋体" w:cs="宋体"/>
          <w:sz w:val="24"/>
          <w:szCs w:val="24"/>
        </w:rPr>
        <w:t>9年7月15日长庆油田分公司第二采油厂</w:t>
      </w:r>
      <w:r>
        <w:rPr>
          <w:rFonts w:hint="eastAsia" w:ascii="宋体" w:hAnsi="宋体" w:cs="宋体"/>
          <w:sz w:val="24"/>
          <w:szCs w:val="24"/>
          <w:lang w:eastAsia="zh-CN"/>
        </w:rPr>
        <w:t>产建设项目组</w:t>
      </w:r>
      <w:r>
        <w:rPr>
          <w:rFonts w:hint="eastAsia" w:ascii="宋体" w:hAnsi="宋体" w:cs="宋体"/>
          <w:sz w:val="24"/>
          <w:szCs w:val="24"/>
        </w:rPr>
        <w:t>召开竣工环境保护验收会议，</w:t>
      </w:r>
      <w:r>
        <w:rPr>
          <w:rFonts w:hint="eastAsia" w:ascii="宋体" w:hAnsi="宋体" w:cs="宋体"/>
          <w:sz w:val="24"/>
          <w:szCs w:val="24"/>
          <w:lang w:val="en-US" w:eastAsia="zh-CN"/>
        </w:rPr>
        <w:t>7月26日</w:t>
      </w:r>
      <w:r>
        <w:rPr>
          <w:rFonts w:hint="eastAsia" w:ascii="宋体" w:hAnsi="宋体" w:cs="宋体"/>
          <w:sz w:val="24"/>
          <w:szCs w:val="24"/>
        </w:rPr>
        <w:t>提出验收</w:t>
      </w:r>
      <w:r>
        <w:rPr>
          <w:rFonts w:hint="eastAsia"/>
          <w:sz w:val="24"/>
          <w:szCs w:val="24"/>
        </w:rPr>
        <w:t>意见，</w:t>
      </w:r>
      <w:r>
        <w:rPr>
          <w:rFonts w:hint="eastAsia"/>
          <w:sz w:val="24"/>
          <w:szCs w:val="24"/>
          <w:lang w:eastAsia="zh-CN"/>
        </w:rPr>
        <w:t>验收合格。</w:t>
      </w:r>
    </w:p>
    <w:p>
      <w:pPr>
        <w:pStyle w:val="2"/>
        <w:ind w:firstLine="240" w:firstLineChars="100"/>
        <w:rPr>
          <w:rFonts w:hint="eastAsia" w:asciiTheme="minorHAnsi" w:hAnsiTheme="minorHAnsi" w:eastAsiaTheme="minorEastAsia" w:cstheme="minorBidi"/>
          <w:bCs w:val="0"/>
          <w:kern w:val="2"/>
          <w:sz w:val="24"/>
          <w:szCs w:val="24"/>
          <w:lang w:val="en-US" w:eastAsia="zh-CN" w:bidi="ar-SA"/>
        </w:rPr>
      </w:pPr>
      <w:r>
        <w:rPr>
          <w:rFonts w:hint="eastAsia" w:asciiTheme="minorHAnsi" w:hAnsiTheme="minorHAnsi" w:eastAsiaTheme="minorEastAsia" w:cstheme="minorBidi"/>
          <w:bCs w:val="0"/>
          <w:kern w:val="2"/>
          <w:sz w:val="24"/>
          <w:szCs w:val="24"/>
          <w:lang w:val="en-US" w:eastAsia="zh-CN" w:bidi="ar-SA"/>
        </w:rPr>
        <w:t>1.4公众反馈意见及处理情况</w:t>
      </w:r>
    </w:p>
    <w:p>
      <w:pPr>
        <w:pStyle w:val="15"/>
        <w:spacing w:before="0" w:beforeLines="0" w:beforeAutospacing="0" w:after="0" w:afterLines="0" w:afterAutospacing="0" w:line="360" w:lineRule="exact"/>
        <w:ind w:firstLine="480" w:firstLineChars="200"/>
        <w:jc w:val="both"/>
        <w:outlineLvl w:val="0"/>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在项目设计、施工和验收期间没有收到过公众反馈意见或投诉。</w:t>
      </w:r>
    </w:p>
    <w:p>
      <w:pPr>
        <w:spacing w:line="360" w:lineRule="auto"/>
        <w:ind w:firstLine="482" w:firstLineChars="200"/>
        <w:outlineLvl w:val="0"/>
        <w:rPr>
          <w:b/>
          <w:bCs/>
          <w:sz w:val="24"/>
          <w:szCs w:val="24"/>
        </w:rPr>
      </w:pPr>
      <w:r>
        <w:rPr>
          <w:rFonts w:hint="eastAsia"/>
          <w:b/>
          <w:bCs/>
          <w:sz w:val="24"/>
          <w:szCs w:val="24"/>
        </w:rPr>
        <w:t>2 其他环境保护措施的实施情况</w:t>
      </w:r>
    </w:p>
    <w:p>
      <w:pPr>
        <w:spacing w:line="360" w:lineRule="auto"/>
        <w:ind w:firstLine="480" w:firstLineChars="200"/>
        <w:rPr>
          <w:sz w:val="24"/>
          <w:szCs w:val="24"/>
        </w:rPr>
      </w:pPr>
      <w:r>
        <w:rPr>
          <w:rFonts w:hint="eastAsia"/>
          <w:sz w:val="24"/>
          <w:szCs w:val="24"/>
        </w:rPr>
        <w:t>环境影响报告书（表）及其审批部门审批决定中提出的除环境保护设施外的其他环境保护措施主要包括制度措施和配套措施等，现将需要说明的措施内容和要求梳理如下：</w:t>
      </w:r>
    </w:p>
    <w:p>
      <w:pPr>
        <w:spacing w:line="360" w:lineRule="auto"/>
        <w:ind w:firstLine="480" w:firstLineChars="200"/>
        <w:outlineLvl w:val="0"/>
        <w:rPr>
          <w:sz w:val="24"/>
          <w:szCs w:val="24"/>
        </w:rPr>
      </w:pPr>
      <w:r>
        <w:rPr>
          <w:rFonts w:hint="eastAsia"/>
          <w:sz w:val="24"/>
          <w:szCs w:val="24"/>
        </w:rPr>
        <w:t>2.1 制度措施落实情况</w:t>
      </w:r>
    </w:p>
    <w:p>
      <w:pPr>
        <w:spacing w:line="360" w:lineRule="auto"/>
        <w:ind w:firstLine="480" w:firstLineChars="200"/>
        <w:rPr>
          <w:sz w:val="24"/>
          <w:szCs w:val="24"/>
        </w:rPr>
      </w:pPr>
      <w:r>
        <w:rPr>
          <w:rFonts w:hint="eastAsia"/>
          <w:sz w:val="24"/>
          <w:szCs w:val="24"/>
        </w:rPr>
        <w:t>（1）环保组织机构及规章制度</w:t>
      </w:r>
    </w:p>
    <w:p>
      <w:pPr>
        <w:spacing w:line="360" w:lineRule="auto"/>
        <w:ind w:firstLine="480" w:firstLineChars="200"/>
        <w:rPr>
          <w:sz w:val="24"/>
          <w:szCs w:val="24"/>
        </w:rPr>
      </w:pPr>
      <w:r>
        <w:rPr>
          <w:rFonts w:hint="eastAsia"/>
          <w:sz w:val="24"/>
          <w:szCs w:val="24"/>
        </w:rPr>
        <w:t>长庆油田分公司第二采油厂</w:t>
      </w:r>
      <w:r>
        <w:rPr>
          <w:rFonts w:ascii="Calibri" w:hAnsi="Calibri"/>
          <w:sz w:val="24"/>
          <w:szCs w:val="24"/>
        </w:rPr>
        <w:t>环境管理体系，根据管理体系标准，</w:t>
      </w:r>
      <w:r>
        <w:rPr>
          <w:rFonts w:hint="eastAsia"/>
          <w:sz w:val="24"/>
          <w:szCs w:val="24"/>
        </w:rPr>
        <w:t>长庆油田分公司第二采油厂</w:t>
      </w:r>
      <w:r>
        <w:rPr>
          <w:rFonts w:ascii="Calibri" w:hAnsi="Calibri"/>
          <w:sz w:val="24"/>
          <w:szCs w:val="24"/>
        </w:rPr>
        <w:t>建立了</w:t>
      </w:r>
      <w:r>
        <w:rPr>
          <w:rFonts w:hint="eastAsia" w:ascii="Calibri" w:hAnsi="Calibri"/>
          <w:sz w:val="24"/>
          <w:szCs w:val="24"/>
          <w:lang w:eastAsia="zh-CN"/>
        </w:rPr>
        <w:t>完善的环保管理</w:t>
      </w:r>
      <w:r>
        <w:rPr>
          <w:rFonts w:ascii="Calibri" w:hAnsi="Calibri"/>
          <w:sz w:val="24"/>
          <w:szCs w:val="24"/>
        </w:rPr>
        <w:t>机构，</w:t>
      </w:r>
      <w:r>
        <w:rPr>
          <w:rFonts w:hint="eastAsia" w:ascii="Calibri" w:hAnsi="Calibri"/>
          <w:sz w:val="24"/>
          <w:szCs w:val="24"/>
          <w:lang w:eastAsia="zh-CN"/>
        </w:rPr>
        <w:t>配备专业环保管理人员，制定相应管理制度并有效实施</w:t>
      </w:r>
      <w:r>
        <w:rPr>
          <w:rFonts w:ascii="Calibri" w:hAnsi="Calibri"/>
          <w:sz w:val="24"/>
          <w:szCs w:val="24"/>
        </w:rPr>
        <w:t>。</w:t>
      </w:r>
    </w:p>
    <w:p>
      <w:pPr>
        <w:spacing w:line="360" w:lineRule="auto"/>
        <w:ind w:firstLine="480" w:firstLineChars="200"/>
        <w:rPr>
          <w:sz w:val="24"/>
          <w:szCs w:val="24"/>
        </w:rPr>
      </w:pPr>
      <w:r>
        <w:rPr>
          <w:rFonts w:hint="eastAsia"/>
          <w:sz w:val="24"/>
          <w:szCs w:val="24"/>
        </w:rPr>
        <w:t>（2）环境风险防范措施</w:t>
      </w:r>
    </w:p>
    <w:p>
      <w:pPr>
        <w:pStyle w:val="7"/>
        <w:spacing w:line="348" w:lineRule="auto"/>
        <w:ind w:firstLine="480" w:firstLineChars="200"/>
        <w:jc w:val="both"/>
        <w:rPr>
          <w:rFonts w:ascii="宋体" w:hAnsi="宋体" w:cs="宋体"/>
        </w:rPr>
      </w:pPr>
      <w:r>
        <w:rPr>
          <w:rFonts w:hint="eastAsia" w:ascii="宋体" w:hAnsi="宋体" w:cs="宋体"/>
          <w:szCs w:val="22"/>
        </w:rPr>
        <w:t>该工程落实了主要风险控制及预防措施，</w:t>
      </w:r>
      <w:r>
        <w:rPr>
          <w:rFonts w:hint="eastAsia" w:hAnsi="宋体"/>
          <w:szCs w:val="22"/>
        </w:rPr>
        <w:t>编制了突发环境事件应急预案，并进行了备案，</w:t>
      </w:r>
      <w:r>
        <w:rPr>
          <w:rFonts w:hint="eastAsia" w:ascii="宋体" w:hAnsi="宋体" w:cs="宋体"/>
          <w:szCs w:val="22"/>
        </w:rPr>
        <w:t>自生产以来没有发生过环境风险事故，没有因管理失误造成对环境的不良影响。</w:t>
      </w:r>
    </w:p>
    <w:p>
      <w:pPr>
        <w:spacing w:line="360" w:lineRule="auto"/>
        <w:ind w:firstLine="482" w:firstLineChars="200"/>
        <w:outlineLvl w:val="0"/>
        <w:rPr>
          <w:sz w:val="24"/>
          <w:szCs w:val="24"/>
        </w:rPr>
      </w:pPr>
      <w:r>
        <w:rPr>
          <w:rFonts w:hint="eastAsia"/>
          <w:b/>
          <w:bCs/>
          <w:sz w:val="24"/>
          <w:szCs w:val="24"/>
        </w:rPr>
        <w:t>3整改工作情况</w:t>
      </w:r>
    </w:p>
    <w:p>
      <w:pPr>
        <w:spacing w:line="360" w:lineRule="auto"/>
        <w:ind w:firstLine="480" w:firstLineChars="200"/>
        <w:rPr>
          <w:sz w:val="24"/>
          <w:szCs w:val="24"/>
        </w:rPr>
      </w:pPr>
      <w:r>
        <w:rPr>
          <w:rFonts w:hint="eastAsia"/>
          <w:sz w:val="24"/>
          <w:szCs w:val="24"/>
        </w:rPr>
        <w:t>无。</w:t>
      </w: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3120" w:firstLineChars="1300"/>
        <w:rPr>
          <w:rFonts w:hint="eastAsia" w:eastAsiaTheme="minorEastAsia"/>
          <w:sz w:val="24"/>
          <w:szCs w:val="24"/>
          <w:lang w:eastAsia="zh-CN"/>
        </w:rPr>
      </w:pPr>
      <w:r>
        <w:rPr>
          <w:rFonts w:hint="eastAsia"/>
          <w:sz w:val="24"/>
          <w:szCs w:val="24"/>
        </w:rPr>
        <w:t>长庆油田分公司第二采油厂</w:t>
      </w:r>
      <w:r>
        <w:rPr>
          <w:rFonts w:hint="eastAsia"/>
          <w:sz w:val="24"/>
          <w:szCs w:val="24"/>
          <w:lang w:eastAsia="zh-CN"/>
        </w:rPr>
        <w:t>产能建设项目组</w:t>
      </w:r>
    </w:p>
    <w:p>
      <w:pPr>
        <w:spacing w:line="360" w:lineRule="auto"/>
        <w:ind w:firstLine="3600" w:firstLineChars="1500"/>
        <w:rPr>
          <w:sz w:val="24"/>
          <w:szCs w:val="24"/>
        </w:rPr>
      </w:pPr>
      <w:r>
        <w:rPr>
          <w:rFonts w:hint="eastAsia"/>
          <w:sz w:val="24"/>
          <w:szCs w:val="24"/>
        </w:rPr>
        <w:t xml:space="preserve">          2019年7月</w:t>
      </w:r>
      <w:r>
        <w:rPr>
          <w:rFonts w:hint="eastAsia"/>
          <w:sz w:val="24"/>
          <w:szCs w:val="24"/>
          <w:lang w:val="en-US" w:eastAsia="zh-CN"/>
        </w:rPr>
        <w:t>26</w:t>
      </w:r>
      <w:r>
        <w:rPr>
          <w:rFonts w:hint="eastAsia"/>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C1AC5"/>
    <w:rsid w:val="000214C1"/>
    <w:rsid w:val="0002531E"/>
    <w:rsid w:val="000668C0"/>
    <w:rsid w:val="000D6E32"/>
    <w:rsid w:val="000F6227"/>
    <w:rsid w:val="0015606E"/>
    <w:rsid w:val="001C1AC5"/>
    <w:rsid w:val="001D646E"/>
    <w:rsid w:val="00226123"/>
    <w:rsid w:val="002C7881"/>
    <w:rsid w:val="003B0E71"/>
    <w:rsid w:val="004035FA"/>
    <w:rsid w:val="00427A55"/>
    <w:rsid w:val="004446D3"/>
    <w:rsid w:val="004B300B"/>
    <w:rsid w:val="005E1EAC"/>
    <w:rsid w:val="006D0C45"/>
    <w:rsid w:val="006F4991"/>
    <w:rsid w:val="00713E47"/>
    <w:rsid w:val="007D4012"/>
    <w:rsid w:val="007F6CAE"/>
    <w:rsid w:val="00893DE4"/>
    <w:rsid w:val="008E7527"/>
    <w:rsid w:val="009679FE"/>
    <w:rsid w:val="009E1EA3"/>
    <w:rsid w:val="009F013C"/>
    <w:rsid w:val="00A8215B"/>
    <w:rsid w:val="00AF162B"/>
    <w:rsid w:val="00B0256D"/>
    <w:rsid w:val="00B11F71"/>
    <w:rsid w:val="00B63E0A"/>
    <w:rsid w:val="00B92D07"/>
    <w:rsid w:val="00B976E2"/>
    <w:rsid w:val="00BF5475"/>
    <w:rsid w:val="00C92616"/>
    <w:rsid w:val="00CC594D"/>
    <w:rsid w:val="00D41842"/>
    <w:rsid w:val="00D60185"/>
    <w:rsid w:val="00DB06E3"/>
    <w:rsid w:val="00DE7FB1"/>
    <w:rsid w:val="00E80CC4"/>
    <w:rsid w:val="00E94425"/>
    <w:rsid w:val="00E957EB"/>
    <w:rsid w:val="00F37E82"/>
    <w:rsid w:val="00F83ABE"/>
    <w:rsid w:val="00FC4CA1"/>
    <w:rsid w:val="00FC5A84"/>
    <w:rsid w:val="40967978"/>
    <w:rsid w:val="60DD0C57"/>
    <w:rsid w:val="77FD35F5"/>
    <w:rsid w:val="7EF12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iPriority w:val="0"/>
    <w:pPr>
      <w:keepNext/>
      <w:keepLines/>
      <w:widowControl w:val="0"/>
      <w:adjustRightInd/>
      <w:snapToGrid/>
      <w:spacing w:after="0" w:afterLines="0" w:line="360" w:lineRule="exact"/>
      <w:jc w:val="both"/>
      <w:outlineLvl w:val="1"/>
    </w:pPr>
    <w:rPr>
      <w:rFonts w:ascii="Times New Roman" w:hAnsi="Times New Roman" w:eastAsia="宋体" w:cs="Times New Roman"/>
      <w:bCs/>
      <w:kern w:val="2"/>
      <w:sz w:val="21"/>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link w:val="11"/>
    <w:semiHidden/>
    <w:unhideWhenUsed/>
    <w:qFormat/>
    <w:uiPriority w:val="99"/>
    <w:rPr>
      <w:rFonts w:ascii="宋体" w:eastAsia="宋体"/>
      <w:sz w:val="18"/>
      <w:szCs w:val="18"/>
    </w:rPr>
  </w:style>
  <w:style w:type="paragraph" w:styleId="4">
    <w:name w:val="Balloon Text"/>
    <w:basedOn w:val="1"/>
    <w:link w:val="10"/>
    <w:semiHidden/>
    <w:unhideWhenUsed/>
    <w:qFormat/>
    <w:uiPriority w:val="99"/>
    <w:rPr>
      <w:sz w:val="18"/>
      <w:szCs w:val="18"/>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line="480" w:lineRule="auto"/>
      <w:jc w:val="center"/>
    </w:pPr>
    <w:rPr>
      <w:rFonts w:ascii="Times New Roman" w:hAnsi="Times New Roman" w:eastAsia="宋体" w:cs="Times New Roman"/>
      <w:sz w:val="24"/>
      <w:szCs w:val="24"/>
    </w:rPr>
  </w:style>
  <w:style w:type="character" w:customStyle="1" w:styleId="10">
    <w:name w:val="批注框文本 Char"/>
    <w:basedOn w:val="9"/>
    <w:link w:val="4"/>
    <w:semiHidden/>
    <w:qFormat/>
    <w:uiPriority w:val="99"/>
    <w:rPr>
      <w:sz w:val="18"/>
      <w:szCs w:val="18"/>
    </w:rPr>
  </w:style>
  <w:style w:type="character" w:customStyle="1" w:styleId="11">
    <w:name w:val="文档结构图 Char"/>
    <w:basedOn w:val="9"/>
    <w:link w:val="3"/>
    <w:semiHidden/>
    <w:qFormat/>
    <w:uiPriority w:val="99"/>
    <w:rPr>
      <w:rFonts w:ascii="宋体" w:eastAsia="宋体"/>
      <w:sz w:val="18"/>
      <w:szCs w:val="18"/>
    </w:rPr>
  </w:style>
  <w:style w:type="character" w:customStyle="1" w:styleId="12">
    <w:name w:val="页眉 Char"/>
    <w:basedOn w:val="9"/>
    <w:link w:val="6"/>
    <w:semiHidden/>
    <w:qFormat/>
    <w:uiPriority w:val="99"/>
    <w:rPr>
      <w:sz w:val="18"/>
      <w:szCs w:val="18"/>
    </w:rPr>
  </w:style>
  <w:style w:type="character" w:customStyle="1" w:styleId="13">
    <w:name w:val="页脚 Char"/>
    <w:basedOn w:val="9"/>
    <w:link w:val="5"/>
    <w:semiHidden/>
    <w:qFormat/>
    <w:uiPriority w:val="99"/>
    <w:rPr>
      <w:sz w:val="18"/>
      <w:szCs w:val="18"/>
    </w:rPr>
  </w:style>
  <w:style w:type="paragraph" w:customStyle="1" w:styleId="14">
    <w:name w:val="1111111"/>
    <w:basedOn w:val="1"/>
    <w:qFormat/>
    <w:uiPriority w:val="0"/>
    <w:pPr>
      <w:spacing w:line="360" w:lineRule="auto"/>
      <w:ind w:firstLine="480" w:firstLineChars="200"/>
    </w:pPr>
    <w:rPr>
      <w:rFonts w:ascii="Times New Roman" w:hAnsi="Times New Roman" w:eastAsia="宋体" w:cs="Times New Roman"/>
      <w:sz w:val="24"/>
      <w:szCs w:val="24"/>
    </w:rPr>
  </w:style>
  <w:style w:type="paragraph" w:customStyle="1" w:styleId="15">
    <w:name w:val="Normal (Web)"/>
    <w:basedOn w:val="1"/>
    <w:uiPriority w:val="0"/>
    <w:pPr>
      <w:adjustRightInd/>
      <w:snapToGrid/>
      <w:spacing w:before="100" w:beforeLines="0" w:beforeAutospacing="1" w:after="100" w:afterLines="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132</Words>
  <Characters>755</Characters>
  <Lines>6</Lines>
  <Paragraphs>1</Paragraphs>
  <TotalTime>7</TotalTime>
  <ScaleCrop>false</ScaleCrop>
  <LinksUpToDate>false</LinksUpToDate>
  <CharactersWithSpaces>886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2018-01-16T06:49:00Z</dcterms:created>
  <dc:creator>Administrator</dc:creator>
  <cp:lastModifiedBy>apple</cp:lastModifiedBy>
  <dcterms:modified xsi:type="dcterms:W3CDTF">2019-07-26T08:46:15Z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